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27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LG Oberlandesgericht Brandenburg an der Havel, Infrastrukturmaßnahmen für innovative Sitzungssaalausstattung, Starkstrom- und informationstechnische 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arkstrom- und informationstechnische 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